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681BD" w14:textId="3FB096E6" w:rsidR="001E2371" w:rsidRPr="008570A6" w:rsidRDefault="008570A6" w:rsidP="008570A6">
      <w:pPr>
        <w:spacing w:line="360" w:lineRule="auto"/>
        <w:ind w:firstLine="709"/>
        <w:rPr>
          <w:rFonts w:ascii="Times New Roman" w:hAnsi="Times New Roman" w:cs="Times New Roman"/>
          <w:sz w:val="24"/>
          <w:szCs w:val="24"/>
        </w:rPr>
      </w:pPr>
      <w:r w:rsidRPr="008570A6">
        <w:rPr>
          <w:rFonts w:ascii="Times New Roman" w:hAnsi="Times New Roman" w:cs="Times New Roman"/>
          <w:sz w:val="24"/>
          <w:szCs w:val="24"/>
        </w:rPr>
        <w:t>KYF 703-1 Numune Kabul ve Talep Teklif Sözleşme Formunda numune saklama koşullarının www.cevre.deu.edu.tr/laboratuvarlar/prosedürler-formlar web sitesi adresinden ulaşılabileceği mevcuttur. Numune alma ve kabul kriterleri uygun olmayan numuneler için Numune Kabul/Red Listesi’ndeki uygun olmayan koşulları içeren parametreler işaretlenerek kayıt altına alınır Müşteri onayı KYF 703-1 Numune Kabul ve Talep Teklif Sözleşme Formu imzalatılarak  alınır ve bu şekilde şartlı numune kabülü gerçekleştirilir. Numune kabul personeli gelen numune üzerine numune kodunu ve şartlı kabul edildiğini gösteren kırmızı bir etiket yapıştırarak ilgili laboratuvara teslim eder. Ayrıca sistem üzerinden numune kaydedilirken ‘şartlı kabul numunesi ve uygun olmayan koşul bilgisinin açıklaması’ olarak girişi yapılır ve analiz yapan personele kabulü için gönderilir. Deneyi gerçekleştirecek ilgili laboratuvar personeli hem etiket</w:t>
      </w:r>
      <w:r w:rsidRPr="008570A6">
        <w:rPr>
          <w:rFonts w:ascii="Times New Roman" w:hAnsi="Times New Roman" w:cs="Times New Roman"/>
          <w:sz w:val="24"/>
          <w:szCs w:val="24"/>
        </w:rPr>
        <w:t xml:space="preserve"> </w:t>
      </w:r>
      <w:r w:rsidRPr="008570A6">
        <w:rPr>
          <w:rFonts w:ascii="Times New Roman" w:hAnsi="Times New Roman" w:cs="Times New Roman"/>
          <w:sz w:val="24"/>
          <w:szCs w:val="24"/>
        </w:rPr>
        <w:t xml:space="preserve">üzerindeki bilgi ile hem de sistem üzerinden şartlı kabül numunesi bilgisini görür ve analiz edilebilir olduğunu teyit edip lab yazılım sisteminde analiz parametresinin yanında yer alan kutucuktaki uygundur/uygun değildir kutucuğunu işaretler ve analizi başlatır.  </w:t>
      </w:r>
    </w:p>
    <w:p w14:paraId="1CC810E8" w14:textId="6D90F0CA" w:rsidR="008570A6" w:rsidRPr="008570A6" w:rsidRDefault="008570A6" w:rsidP="008570A6">
      <w:pPr>
        <w:spacing w:line="360" w:lineRule="auto"/>
        <w:ind w:firstLine="709"/>
        <w:rPr>
          <w:rFonts w:ascii="Times New Roman" w:hAnsi="Times New Roman" w:cs="Times New Roman"/>
          <w:sz w:val="24"/>
          <w:szCs w:val="24"/>
        </w:rPr>
      </w:pPr>
      <w:r w:rsidRPr="008570A6">
        <w:rPr>
          <w:rFonts w:ascii="Times New Roman" w:hAnsi="Times New Roman" w:cs="Times New Roman"/>
          <w:sz w:val="24"/>
          <w:szCs w:val="24"/>
        </w:rPr>
        <w:t>Müşteri tarafından feragat beyanı imzalanmış şartlı kabül numunelerinin raporlamasında ise, laboratuvar personeli tarafından lab yazılım sistemindeki notlar kısmına mutlaka 'Bu numune kabul kriterlerini (sıcaklık/süre vb.) sağlamamaktadır. Müşteri talebi üzerine analiz edilmiştir, numunenin durumu analiz sonucunu etkileyebilir.' şeklinde açıklama yapılır ve raporda bu şekilde basılır. ‘Şartlı kabul’süreci de tamamlanmış olur.</w:t>
      </w:r>
    </w:p>
    <w:sectPr w:rsidR="008570A6" w:rsidRPr="008570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5A"/>
    <w:rsid w:val="001E2371"/>
    <w:rsid w:val="008570A6"/>
    <w:rsid w:val="00BE5EFF"/>
    <w:rsid w:val="00CB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ED69"/>
  <w15:chartTrackingRefBased/>
  <w15:docId w15:val="{A7B3BFA2-3CB3-4057-BECE-5368A5CA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2026-01-22T11:18:00Z</dcterms:created>
  <dcterms:modified xsi:type="dcterms:W3CDTF">2026-01-22T11:22:00Z</dcterms:modified>
</cp:coreProperties>
</file>